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33" w:rsidRDefault="00ED3433" w:rsidP="00ED3433">
      <w:pPr>
        <w:pStyle w:val="Heading1"/>
      </w:pPr>
      <w:bookmarkStart w:id="0" w:name="_Toc430334580"/>
      <w:r>
        <w:t>Παράρτημα Β</w:t>
      </w:r>
      <w:bookmarkEnd w:id="0"/>
    </w:p>
    <w:p w:rsidR="00ED3433" w:rsidRDefault="00ED3433" w:rsidP="00ED3433">
      <w:pPr>
        <w:pStyle w:val="Heading2"/>
      </w:pPr>
      <w:bookmarkStart w:id="1" w:name="_Toc430334581"/>
      <w:r>
        <w:t>Τεχνικές προδιαγραφές</w:t>
      </w:r>
      <w:bookmarkEnd w:id="1"/>
    </w:p>
    <w:p w:rsidR="00ED3433" w:rsidRDefault="00ED3433" w:rsidP="00ED3433">
      <w:pPr>
        <w:pStyle w:val="BodyText"/>
      </w:pPr>
      <w:r>
        <w:t>Το Αριστοτέλειο Πανεπιστήμιο Θεσσαλονίκης διαθέτει «</w:t>
      </w:r>
      <w:r>
        <w:rPr>
          <w:b/>
        </w:rPr>
        <w:t>ενοποιημένο δίκτυο ασύρματης πρόσβασης</w:t>
      </w:r>
      <w:r>
        <w:t xml:space="preserve">» με πλήθος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 w:rsidRPr="00ED3433">
        <w:t xml:space="preserve"> </w:t>
      </w:r>
      <w:r>
        <w:t xml:space="preserve">και κεντρικό σύστημα διαχείρισης και ελέγχου αποτελούμενο από: </w:t>
      </w:r>
    </w:p>
    <w:p w:rsidR="00ED3433" w:rsidRDefault="00ED3433" w:rsidP="00ED3433">
      <w:pPr>
        <w:pStyle w:val="BodyText"/>
        <w:numPr>
          <w:ilvl w:val="0"/>
          <w:numId w:val="3"/>
        </w:numPr>
        <w:spacing w:before="0"/>
        <w:ind w:left="284" w:hanging="284"/>
        <w:rPr>
          <w:lang w:val="en-US"/>
        </w:rPr>
      </w:pPr>
      <w:r>
        <w:t>το</w:t>
      </w:r>
      <w:r>
        <w:rPr>
          <w:lang w:val="en-US"/>
        </w:rPr>
        <w:t xml:space="preserve"> </w:t>
      </w:r>
      <w:r>
        <w:t>λογισμικό</w:t>
      </w:r>
      <w:r>
        <w:rPr>
          <w:lang w:val="en-US"/>
        </w:rPr>
        <w:t xml:space="preserve"> Prime Infrastructure, </w:t>
      </w:r>
      <w:r>
        <w:t>έκδοση</w:t>
      </w:r>
      <w:r>
        <w:rPr>
          <w:lang w:val="en-US"/>
        </w:rPr>
        <w:t xml:space="preserve"> 2.2.0, </w:t>
      </w:r>
      <w:r>
        <w:t>με</w:t>
      </w:r>
      <w:r>
        <w:rPr>
          <w:lang w:val="en-US"/>
        </w:rPr>
        <w:t xml:space="preserve"> licenses </w:t>
      </w:r>
      <w:r>
        <w:t>για</w:t>
      </w:r>
      <w:r>
        <w:rPr>
          <w:lang w:val="en-US"/>
        </w:rPr>
        <w:t xml:space="preserve"> 475 access points </w:t>
      </w:r>
      <w:r>
        <w:t>και</w:t>
      </w:r>
    </w:p>
    <w:p w:rsidR="00ED3433" w:rsidRDefault="00ED3433" w:rsidP="00ED3433">
      <w:pPr>
        <w:pStyle w:val="BodyText"/>
        <w:numPr>
          <w:ilvl w:val="0"/>
          <w:numId w:val="3"/>
        </w:numPr>
        <w:spacing w:before="0"/>
        <w:ind w:left="284" w:hanging="284"/>
      </w:pPr>
      <w:r>
        <w:t xml:space="preserve">δύο </w:t>
      </w:r>
      <w:r>
        <w:rPr>
          <w:lang w:val="en-US"/>
        </w:rPr>
        <w:t>Wireless</w:t>
      </w:r>
      <w:r w:rsidRPr="00ED3433">
        <w:t xml:space="preserve"> </w:t>
      </w:r>
      <w:r>
        <w:rPr>
          <w:lang w:val="en-US"/>
        </w:rPr>
        <w:t>LAN</w:t>
      </w:r>
      <w:r w:rsidRPr="00ED3433">
        <w:t xml:space="preserve"> </w:t>
      </w:r>
      <w:r>
        <w:rPr>
          <w:lang w:val="en-US"/>
        </w:rPr>
        <w:t>Controllers</w:t>
      </w:r>
      <w:r>
        <w:t xml:space="preserve"> (</w:t>
      </w:r>
      <w:r>
        <w:rPr>
          <w:lang w:val="en-US"/>
        </w:rPr>
        <w:t>WLC</w:t>
      </w:r>
      <w:r>
        <w:t xml:space="preserve">) 5508 (σε συστοιχία υψηλής διαθεσιμότητας), με λειτουργικό σύστημα 8.0.115.0: </w:t>
      </w:r>
    </w:p>
    <w:p w:rsidR="00ED3433" w:rsidRDefault="00ED3433" w:rsidP="00ED3433">
      <w:pPr>
        <w:pStyle w:val="BodyText"/>
        <w:numPr>
          <w:ilvl w:val="1"/>
          <w:numId w:val="3"/>
        </w:numPr>
        <w:spacing w:before="0"/>
        <w:ind w:left="709"/>
        <w:rPr>
          <w:lang w:val="en-US"/>
        </w:rPr>
      </w:pPr>
      <w:r>
        <w:rPr>
          <w:lang w:val="en-US"/>
        </w:rPr>
        <w:t xml:space="preserve">product number: AIR-CT5508-K9, serial number: FCW1425L0AG, </w:t>
      </w:r>
      <w:r>
        <w:t>με</w:t>
      </w:r>
      <w:r>
        <w:rPr>
          <w:lang w:val="en-US"/>
        </w:rPr>
        <w:t xml:space="preserve"> licenses </w:t>
      </w:r>
      <w:r>
        <w:t>για</w:t>
      </w:r>
      <w:r>
        <w:rPr>
          <w:lang w:val="en-US"/>
        </w:rPr>
        <w:t xml:space="preserve"> 500 access points</w:t>
      </w:r>
    </w:p>
    <w:p w:rsidR="00ED3433" w:rsidRDefault="00ED3433" w:rsidP="00ED3433">
      <w:pPr>
        <w:pStyle w:val="BodyText"/>
        <w:numPr>
          <w:ilvl w:val="1"/>
          <w:numId w:val="3"/>
        </w:numPr>
        <w:spacing w:before="0"/>
        <w:ind w:left="709"/>
        <w:rPr>
          <w:lang w:val="en-US"/>
        </w:rPr>
      </w:pPr>
      <w:r>
        <w:rPr>
          <w:lang w:val="en-US"/>
        </w:rPr>
        <w:t>product number: AIR-CT5508-HA-K9, serial number: FCW1730L08T</w:t>
      </w:r>
    </w:p>
    <w:p w:rsidR="00ED3433" w:rsidRDefault="00ED3433" w:rsidP="00ED3433">
      <w:pPr>
        <w:pStyle w:val="BodyText"/>
        <w:ind w:firstLine="0"/>
      </w:pPr>
      <w:r>
        <w:t xml:space="preserve">της κατασκευάστριας εταιρείας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:rsidR="00ED3433" w:rsidRPr="00ED3433" w:rsidRDefault="00ED3433" w:rsidP="00ED3433">
      <w:pPr>
        <w:pStyle w:val="BodyText"/>
      </w:pPr>
      <w:r>
        <w:t xml:space="preserve">Στο πλαίσιο του παρόντος διαγωνισμού ζητείται </w:t>
      </w:r>
    </w:p>
    <w:p w:rsidR="00ED3433" w:rsidRDefault="00ED3433" w:rsidP="00ED3433">
      <w:pPr>
        <w:pStyle w:val="BodyText"/>
        <w:ind w:firstLine="0"/>
        <w:rPr>
          <w:b/>
        </w:rPr>
      </w:pPr>
      <w:r>
        <w:t xml:space="preserve">α) η επέκταση του ενοποιημένου δικτύου ασύρματης πρόσβασης με την </w:t>
      </w:r>
      <w:r>
        <w:rPr>
          <w:b/>
        </w:rPr>
        <w:t>προμήθεια</w:t>
      </w:r>
      <w:r>
        <w:t>:</w:t>
      </w:r>
    </w:p>
    <w:p w:rsidR="00ED3433" w:rsidRDefault="00ED3433" w:rsidP="00ED3433">
      <w:pPr>
        <w:pStyle w:val="BodyText"/>
        <w:numPr>
          <w:ilvl w:val="0"/>
          <w:numId w:val="4"/>
        </w:numPr>
        <w:spacing w:before="0"/>
        <w:ind w:left="567" w:hanging="284"/>
        <w:rPr>
          <w:b/>
          <w:lang w:val="en-US"/>
        </w:rPr>
      </w:pPr>
      <w:r>
        <w:rPr>
          <w:b/>
          <w:lang w:val="en-US"/>
        </w:rPr>
        <w:t>access points</w:t>
      </w:r>
    </w:p>
    <w:p w:rsidR="00ED3433" w:rsidRDefault="00ED3433" w:rsidP="00ED3433">
      <w:pPr>
        <w:pStyle w:val="BodyText"/>
        <w:numPr>
          <w:ilvl w:val="0"/>
          <w:numId w:val="4"/>
        </w:numPr>
        <w:spacing w:before="0"/>
        <w:ind w:left="567" w:hanging="284"/>
        <w:rPr>
          <w:lang w:val="en-US"/>
        </w:rPr>
      </w:pPr>
      <w:r>
        <w:rPr>
          <w:b/>
          <w:lang w:val="en-US"/>
        </w:rPr>
        <w:t>7 power injectors</w:t>
      </w:r>
      <w:r>
        <w:rPr>
          <w:lang w:val="en-US"/>
        </w:rPr>
        <w:t xml:space="preserve">, </w:t>
      </w:r>
      <w:r>
        <w:t>καταλλήλων</w:t>
      </w:r>
      <w:r>
        <w:rPr>
          <w:lang w:val="en-US"/>
        </w:rPr>
        <w:t xml:space="preserve"> </w:t>
      </w:r>
      <w:r>
        <w:t>για</w:t>
      </w:r>
      <w:r>
        <w:rPr>
          <w:lang w:val="en-US"/>
        </w:rPr>
        <w:t xml:space="preserve"> </w:t>
      </w:r>
      <w:r>
        <w:t>την</w:t>
      </w:r>
      <w:r>
        <w:rPr>
          <w:lang w:val="en-US"/>
        </w:rPr>
        <w:t xml:space="preserve"> </w:t>
      </w:r>
      <w:r>
        <w:t>ηλεκτροδότηση</w:t>
      </w:r>
      <w:r>
        <w:rPr>
          <w:lang w:val="en-US"/>
        </w:rPr>
        <w:t xml:space="preserve"> 7 </w:t>
      </w:r>
      <w:r>
        <w:t>εκ</w:t>
      </w:r>
      <w:r>
        <w:rPr>
          <w:lang w:val="en-US"/>
        </w:rPr>
        <w:t xml:space="preserve"> </w:t>
      </w:r>
      <w:r>
        <w:t>των</w:t>
      </w:r>
      <w:r>
        <w:rPr>
          <w:lang w:val="en-US"/>
        </w:rPr>
        <w:t xml:space="preserve"> </w:t>
      </w:r>
      <w:r>
        <w:t>παραπάνω</w:t>
      </w:r>
      <w:r>
        <w:rPr>
          <w:lang w:val="en-US"/>
        </w:rPr>
        <w:t xml:space="preserve"> access points </w:t>
      </w:r>
      <w:r>
        <w:t>με</w:t>
      </w:r>
      <w:r>
        <w:rPr>
          <w:lang w:val="en-US"/>
        </w:rPr>
        <w:t xml:space="preserve"> “Power over Ethernet” (</w:t>
      </w:r>
      <w:proofErr w:type="spellStart"/>
      <w:r>
        <w:rPr>
          <w:lang w:val="en-US"/>
        </w:rPr>
        <w:t>PoE</w:t>
      </w:r>
      <w:proofErr w:type="spellEnd"/>
      <w:r>
        <w:rPr>
          <w:lang w:val="en-US"/>
        </w:rPr>
        <w:t xml:space="preserve">) </w:t>
      </w:r>
    </w:p>
    <w:p w:rsidR="00ED3433" w:rsidRDefault="00ED3433" w:rsidP="00ED3433">
      <w:pPr>
        <w:pStyle w:val="BodyText"/>
        <w:numPr>
          <w:ilvl w:val="0"/>
          <w:numId w:val="4"/>
        </w:numPr>
        <w:spacing w:before="0"/>
        <w:ind w:left="567" w:hanging="284"/>
      </w:pPr>
      <w:r>
        <w:rPr>
          <w:b/>
        </w:rPr>
        <w:t>κλειδαριών</w:t>
      </w:r>
      <w:r>
        <w:t xml:space="preserve"> κατάλληλου τύπου και μεγέθους για τη φυσική ασφάλεια των παραπάνω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 w:rsidRPr="00ED3433">
        <w:t xml:space="preserve"> </w:t>
      </w:r>
      <w:r>
        <w:t xml:space="preserve">(ισάριθμων με τα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>
        <w:t>)</w:t>
      </w:r>
    </w:p>
    <w:p w:rsidR="00ED3433" w:rsidRDefault="00ED3433" w:rsidP="00ED3433">
      <w:pPr>
        <w:pStyle w:val="BodyText"/>
        <w:spacing w:before="0"/>
        <w:ind w:firstLine="0"/>
      </w:pPr>
      <w:r>
        <w:t xml:space="preserve">β) η τεχνική υποστήριξη του κεντρικού συστήματος διαχείρισης και ελέγχου για </w:t>
      </w:r>
      <w:r>
        <w:rPr>
          <w:b/>
        </w:rPr>
        <w:t>2 έτη</w:t>
      </w:r>
      <w:r>
        <w:t>.</w:t>
      </w:r>
    </w:p>
    <w:p w:rsidR="00ED3433" w:rsidRDefault="00ED3433" w:rsidP="00ED3433">
      <w:pPr>
        <w:pStyle w:val="BodyText"/>
      </w:pPr>
      <w:r>
        <w:t xml:space="preserve">Η εγκατάσταση (φυσική τοποθέτηση, παραμετροποίηση, ένταξη στο ενοποιημένο δίκτυο ασύρματης πρόσβασης) θα πραγματοποιηθεί από το προσωπικό του Κέντρου Ηλεκτρονικής Διακυβέρνησης και δεν αποτελεί ευθύνη του αναδόχου. </w:t>
      </w:r>
    </w:p>
    <w:p w:rsidR="00ED3433" w:rsidRDefault="00ED3433" w:rsidP="00ED3433">
      <w:pPr>
        <w:pStyle w:val="BodyText"/>
      </w:pPr>
      <w:r>
        <w:t xml:space="preserve">Διευκρινίζεται ότι το κεντρικό σύστημα διαχείρισης και ελέγχου διαθέτει επαρκείς άδειες για την ένταξη των ζητούμενων νέων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 w:rsidRPr="00ED3433">
        <w:t xml:space="preserve"> </w:t>
      </w:r>
      <w:r>
        <w:t xml:space="preserve">και συνεπώς η προμήθεια αδειών λογισμικού για τα υπό προμήθεια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 w:rsidRPr="00ED3433">
        <w:t xml:space="preserve"> </w:t>
      </w:r>
      <w:r>
        <w:t xml:space="preserve">δεν συμπεριλαμβάνεται στο αντικείμενο του έργου. </w:t>
      </w:r>
    </w:p>
    <w:p w:rsidR="00ED3433" w:rsidRDefault="00ED3433" w:rsidP="00ED3433">
      <w:pPr>
        <w:pStyle w:val="BodyText"/>
      </w:pPr>
      <w:r>
        <w:t xml:space="preserve">Στον πίνακα 1 δίνονται οι ελάχιστες τεχνικές προδιαγραφές των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points</w:t>
      </w:r>
      <w:r>
        <w:t xml:space="preserve">. </w:t>
      </w:r>
      <w:r>
        <w:rPr>
          <w:b/>
        </w:rPr>
        <w:t>Οι διαγωνιζόμενοι θα πρέπει να συμπεριλάβουν στις προσφορές τους αντίστοιχους πίνακες συμπληρωμένους με τις απαντήσεις τους</w:t>
      </w:r>
      <w:r>
        <w:t>.</w:t>
      </w:r>
    </w:p>
    <w:p w:rsidR="00ED3433" w:rsidRDefault="00ED3433" w:rsidP="00ED3433">
      <w:pPr>
        <w:pStyle w:val="BodyText"/>
      </w:pPr>
    </w:p>
    <w:p w:rsidR="00ED3433" w:rsidRDefault="00ED3433" w:rsidP="00ED3433">
      <w:pPr>
        <w:pStyle w:val="Caption-Table"/>
      </w:pPr>
      <w:r>
        <w:t xml:space="preserve">Πίνακας 1: Ελάχιστα τεχνικά χαρακτηριστικά </w:t>
      </w:r>
      <w:r>
        <w:rPr>
          <w:lang w:val="en-US"/>
        </w:rPr>
        <w:t>access</w:t>
      </w:r>
      <w:r w:rsidRPr="00ED3433">
        <w:t xml:space="preserve"> </w:t>
      </w:r>
      <w:r>
        <w:rPr>
          <w:lang w:val="en-US"/>
        </w:rPr>
        <w:t>point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60"/>
        <w:gridCol w:w="6901"/>
        <w:gridCol w:w="1449"/>
      </w:tblGrid>
      <w:tr w:rsidR="00ED3433" w:rsidTr="00ED3433">
        <w:trPr>
          <w:cantSplit/>
          <w:tblHeader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4C4C4C"/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Α/Α</w:t>
            </w:r>
          </w:p>
        </w:tc>
        <w:tc>
          <w:tcPr>
            <w:tcW w:w="689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4C4C4C"/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Περιγραφή / Προδιαγραφές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4C4C4C"/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Υποχρεωτική</w:t>
            </w:r>
          </w:p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Απαίτηση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Πλήθος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access points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1</w:t>
            </w: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Ethernet interface 100Base-TX/1000Base-T auto-sense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 802.11a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 802.11b/g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στην μπάντα συχνοτήτων των 2,4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στην μπάντα συχνοτήτων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πλήρους ένταξης (για λόγους ρύθμισης, παρακολούθησης και αντιμετώπισης προβλημάτων) στο κεντρικό σύστημα διαχείρισης και ελέγχου του ασύρματου δικτύου του ΑΠΘ, που περιγράφηκε παραπάνω, βάσει του πρωτοκόλλου «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Control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And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Provisioning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Wireless</w:t>
            </w:r>
            <w:r>
              <w:rPr>
                <w:rFonts w:ascii="Verdana" w:hAnsi="Verdana"/>
                <w:sz w:val="18"/>
                <w:szCs w:val="18"/>
              </w:rPr>
              <w:t xml:space="preserve"> Access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Points</w:t>
            </w:r>
            <w:r>
              <w:rPr>
                <w:rFonts w:ascii="Verdana" w:hAnsi="Verdana"/>
                <w:sz w:val="18"/>
                <w:szCs w:val="18"/>
              </w:rPr>
              <w:t xml:space="preserve">» (CAPWAP) σύμφωνα με τα IETF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RFC’s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5415 και 5416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Σύστημα κεραιών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multiple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input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multiple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output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MIMO</w:t>
            </w:r>
            <w:r>
              <w:rPr>
                <w:rFonts w:ascii="Verdana" w:hAnsi="Verdana"/>
                <w:sz w:val="18"/>
                <w:szCs w:val="18"/>
              </w:rPr>
              <w:t xml:space="preserve">), τουλάχιστον 3×4 με τουλάχιστον 3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spatial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streams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(και για τις δύο μπάντες συχνοτήτων)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 ρυθμού μετάδοσης στο φυσικό επίπεδο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PHY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data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rate</w:t>
            </w:r>
            <w:r>
              <w:rPr>
                <w:rFonts w:ascii="Verdana" w:hAnsi="Verdana"/>
                <w:sz w:val="18"/>
                <w:szCs w:val="18"/>
              </w:rPr>
              <w:t xml:space="preserve">) με κανάλι εύρους 40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MHz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στην μπάντα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45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0 Mbps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 ρυθμού μετάδοσης στο φυσικό επίπεδο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PHY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data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rate</w:t>
            </w:r>
            <w:r>
              <w:rPr>
                <w:rFonts w:ascii="Verdana" w:hAnsi="Verdana"/>
                <w:sz w:val="18"/>
                <w:szCs w:val="18"/>
              </w:rPr>
              <w:t xml:space="preserve">) με κανάλι εύρους 80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MHz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στην μπάντα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Gbps</w:t>
            </w:r>
            <w:proofErr w:type="spellEnd"/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Πλήθος υποστηριζόμενων συνδεδεμένων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wireless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clients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200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Λήψη ρεύματος με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Power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over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Ethernet</w:t>
            </w:r>
            <w:r>
              <w:rPr>
                <w:rFonts w:ascii="Verdana" w:hAnsi="Verdana"/>
                <w:sz w:val="18"/>
                <w:szCs w:val="18"/>
              </w:rPr>
              <w:t xml:space="preserve">, σύμφωνα με το πρότυπο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802.3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at</w:t>
            </w:r>
            <w:r>
              <w:rPr>
                <w:rFonts w:ascii="Verdana" w:hAnsi="Verdana"/>
                <w:sz w:val="18"/>
                <w:szCs w:val="18"/>
              </w:rPr>
              <w:t xml:space="preserve">, με κατάλληλο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power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injector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που θα παρεμβληθεί μεταξύ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switch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και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access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point</w:t>
            </w:r>
            <w:r>
              <w:rPr>
                <w:rFonts w:ascii="Verdana" w:hAnsi="Verdana"/>
                <w:sz w:val="18"/>
                <w:szCs w:val="18"/>
              </w:rPr>
              <w:t xml:space="preserve"> (στην προσφορά θα πρέπει να συμπεριλαμβάνονται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power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injectors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Πλήθος μη επικαλυπτόμενων καναλιών (εύρους 20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MHz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έκαστο) στη μπάντα των 2,4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 3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Πλήθος μη επικαλυπτόμενων καναλιών (εύρους 20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MHz</w:t>
            </w:r>
            <w:r>
              <w:rPr>
                <w:rFonts w:ascii="Verdana" w:hAnsi="Verdana"/>
                <w:sz w:val="18"/>
                <w:szCs w:val="18"/>
              </w:rPr>
              <w:t xml:space="preserve"> έκαστο) στη μπάντα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≥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Δυνατότητα ορισμού καναλιών εύρους 20 ή 40 ή 80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MHz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στην μπάντα συχνοτήτων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802.11 Dynamic Frequency Selection (DFS)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packet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aggregation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MPDU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MSDU</w:t>
            </w:r>
            <w:r>
              <w:rPr>
                <w:rFonts w:ascii="Verdana" w:hAnsi="Verdana"/>
                <w:sz w:val="18"/>
                <w:szCs w:val="18"/>
              </w:rPr>
              <w:t xml:space="preserve">) σύμφωνα με τα προβλεπόμενα στα πρότυπα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και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ρύθμισης της εκπεμπόμενης ισχύος ανεξάρτητα σε καθεμιά από τις υποστηριζόμενες μπάντες συχνοτήτων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Κέρδος κεραιών 2,4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dBi</w:t>
            </w:r>
            <w:proofErr w:type="spellEnd"/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Κέρδος κεραιών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≥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 xml:space="preserve"> 4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dBi</w:t>
            </w:r>
            <w:proofErr w:type="spellEnd"/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Κεραίες (όλες) ενσωματωμένες στο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access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point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Γωνία κάλυψης κεραιών (όλων) στο οριζόντιο επίπεδο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360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>ο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Σύστημα ανάρτησης σε οροφή ή στο σκελετό ψευδοροφής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Σύστημα φυσικής ασφάλειας, με κλείδωμα του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access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point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στο σύστημα ανάρτησης (στην προσφορά θα πρέπει να συμπεριλαμβάνονται κλειδαριές κατάλληλου μεγέθους και τύπου, ισάριθμες με τα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access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points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 μεθόδων κρυπτογράφησης</w:t>
            </w:r>
          </w:p>
          <w:p w:rsidR="00ED3433" w:rsidRDefault="00ED3433">
            <w:pPr>
              <w:numPr>
                <w:ilvl w:val="0"/>
                <w:numId w:val="6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Temporal Key Integrity Protocol (TKIP)</w:t>
            </w:r>
          </w:p>
          <w:p w:rsidR="00ED3433" w:rsidRDefault="00ED3433">
            <w:pPr>
              <w:numPr>
                <w:ilvl w:val="0"/>
                <w:numId w:val="6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Advanced Encryption Standards (AES)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πρωτοκόλλων ασφάλειας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WPA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και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WPA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Υποστήριξη συστήματος πιστοποίησης ταυτότητας χρηστών σύμφωνα με το πρότυπο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x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Ύπαρξη μηχανισμού «καθοδήγησης»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wireless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clients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που υποστηρίζουν και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και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να συνδεθούν στη μπάντα των 5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GHz</w:t>
            </w:r>
            <w:r>
              <w:rPr>
                <w:rFonts w:ascii="Verdana" w:hAnsi="Verdana"/>
                <w:sz w:val="18"/>
                <w:szCs w:val="18"/>
              </w:rPr>
              <w:t>, χρησιμοποιώντας το 802.11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 αναφερθεί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Ικανότητα αναγνώρισης, ταυτοποίησης και χαρακτηρισμού παρεμβολών από πηγές που δεν είναι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IEEE</w:t>
            </w:r>
            <w:r>
              <w:rPr>
                <w:rFonts w:ascii="Verdana" w:hAnsi="Verdana"/>
                <w:sz w:val="18"/>
                <w:szCs w:val="18"/>
              </w:rPr>
              <w:t xml:space="preserve"> 802.11, αλλά εκπέμπουν στις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ISM</w:t>
            </w:r>
            <w:r w:rsidRPr="00ED343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μπάντες συχνοτήτων, όπως συσκευές ενδοεπικοινωνίας (π.χ.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CB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walkie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talkie</w:t>
            </w:r>
            <w:r>
              <w:rPr>
                <w:rFonts w:ascii="Verdana" w:hAnsi="Verdana"/>
                <w:sz w:val="18"/>
                <w:szCs w:val="18"/>
              </w:rPr>
              <w:t xml:space="preserve">), φούρνοι μικροκυμάτων,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bluetooth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Ικανότητα αναφοράς των παραπάνω παρεμβολών στο κεντρικό σύστημα ελέγχου και διαχείρισης, για τη λήψη κατάλληλων μέτρων (ενημέρωση διαχειριστών και αυτόματη αλλαγή πλάνου ανάθεσης καναλιών)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Κάλυψη προδιαγραφών ασφάλειας: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 60950-1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Κάλυψη προδιαγραφών ηλεκτρομαγνητικής εκπομπής:</w:t>
            </w:r>
          </w:p>
          <w:p w:rsidR="00ED3433" w:rsidRDefault="00ED3433">
            <w:pPr>
              <w:numPr>
                <w:ilvl w:val="0"/>
                <w:numId w:val="7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EN 300.328</w:t>
            </w:r>
          </w:p>
          <w:p w:rsidR="00ED3433" w:rsidRDefault="00ED3433">
            <w:pPr>
              <w:numPr>
                <w:ilvl w:val="0"/>
                <w:numId w:val="7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EN 301.893</w:t>
            </w:r>
          </w:p>
          <w:p w:rsidR="00ED3433" w:rsidRDefault="00ED3433">
            <w:pPr>
              <w:numPr>
                <w:ilvl w:val="0"/>
                <w:numId w:val="7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EN 301.489-1 </w:t>
            </w:r>
          </w:p>
          <w:p w:rsidR="00ED3433" w:rsidRDefault="00ED3433">
            <w:pPr>
              <w:numPr>
                <w:ilvl w:val="0"/>
                <w:numId w:val="7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EN 301.489-17</w:t>
            </w:r>
          </w:p>
          <w:p w:rsidR="00ED3433" w:rsidRDefault="00ED3433">
            <w:pPr>
              <w:numPr>
                <w:ilvl w:val="0"/>
                <w:numId w:val="7"/>
              </w:numPr>
              <w:spacing w:line="288" w:lineRule="auto"/>
              <w:ind w:left="479" w:hanging="283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EN 60601-1-2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  <w:tr w:rsidR="00ED3433" w:rsidTr="00ED3433">
        <w:trPr>
          <w:cantSplit/>
          <w:jc w:val="center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433" w:rsidRDefault="00ED3433">
            <w:pPr>
              <w:pStyle w:val="ListNumber"/>
              <w:numPr>
                <w:ilvl w:val="0"/>
                <w:numId w:val="5"/>
              </w:numPr>
              <w:rPr>
                <w:sz w:val="18"/>
                <w:szCs w:val="18"/>
                <w:lang w:val="en-GB"/>
              </w:rPr>
            </w:pPr>
          </w:p>
        </w:tc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33" w:rsidRDefault="00ED3433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Μη ύπαρξη ανακοίνωσης από την κατασκευάστρια εταιρεία για προγραμματισμένη λήξη παραγωγής των προσφερόμενων μοντέλων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433" w:rsidRDefault="00ED3433">
            <w:pPr>
              <w:keepLines/>
              <w:suppressAutoHyphens/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</w:tr>
    </w:tbl>
    <w:p w:rsidR="00ED3433" w:rsidRDefault="00ED3433" w:rsidP="00ED3433">
      <w:pPr>
        <w:pStyle w:val="BodyText"/>
      </w:pPr>
      <w:r>
        <w:t xml:space="preserve">Ο υπό προμήθεια εξοπλισμός πρέπει να είναι </w:t>
      </w:r>
      <w:r>
        <w:rPr>
          <w:b/>
        </w:rPr>
        <w:t>αμεταχείριστος</w:t>
      </w:r>
      <w:r>
        <w:t>.</w:t>
      </w:r>
    </w:p>
    <w:p w:rsidR="00ED72D5" w:rsidRDefault="00ED72D5">
      <w:pPr>
        <w:rPr>
          <w:lang w:val="en-US"/>
        </w:rPr>
      </w:pPr>
    </w:p>
    <w:p w:rsidR="00ED3433" w:rsidRDefault="00ED3433">
      <w:pPr>
        <w:rPr>
          <w:lang w:val="en-US"/>
        </w:rPr>
      </w:pPr>
    </w:p>
    <w:p w:rsidR="00ED3433" w:rsidRDefault="00ED3433">
      <w:pPr>
        <w:rPr>
          <w:lang w:val="en-US"/>
        </w:rPr>
      </w:pPr>
    </w:p>
    <w:p w:rsidR="00ED3433" w:rsidRDefault="00ED3433">
      <w:pPr>
        <w:rPr>
          <w:lang w:val="en-US"/>
        </w:rPr>
      </w:pPr>
    </w:p>
    <w:p w:rsidR="00ED3433" w:rsidRDefault="00ED3433">
      <w:pPr>
        <w:rPr>
          <w:lang w:val="en-US"/>
        </w:rPr>
      </w:pPr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  <w:r w:rsidRPr="00ED3433">
        <w:rPr>
          <w:rFonts w:ascii="Verdana" w:hAnsi="Verdana"/>
          <w:i/>
          <w:sz w:val="20"/>
          <w:szCs w:val="20"/>
          <w:lang w:eastAsia="en-US"/>
        </w:rPr>
        <w:t xml:space="preserve">Ο </w:t>
      </w:r>
      <w:proofErr w:type="spellStart"/>
      <w:r w:rsidRPr="00ED3433">
        <w:rPr>
          <w:rFonts w:ascii="Verdana" w:hAnsi="Verdana"/>
          <w:i/>
          <w:sz w:val="20"/>
          <w:szCs w:val="20"/>
          <w:lang w:eastAsia="en-US"/>
        </w:rPr>
        <w:t>συντάξας</w:t>
      </w:r>
      <w:proofErr w:type="spellEnd"/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</w:p>
    <w:p w:rsid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 xml:space="preserve">Γιάννης </w:t>
      </w:r>
      <w:proofErr w:type="spellStart"/>
      <w:r>
        <w:rPr>
          <w:rFonts w:ascii="Verdana" w:hAnsi="Verdana"/>
          <w:i/>
          <w:sz w:val="20"/>
          <w:szCs w:val="20"/>
          <w:lang w:eastAsia="en-US"/>
        </w:rPr>
        <w:t>Σαλματζίδης</w:t>
      </w:r>
      <w:proofErr w:type="spellEnd"/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  <w:lang w:eastAsia="en-US"/>
        </w:rPr>
        <w:t>Τεχνικός Διευθυντής ΚΗΔ</w:t>
      </w:r>
      <w:bookmarkStart w:id="2" w:name="_GoBack"/>
      <w:bookmarkEnd w:id="2"/>
    </w:p>
    <w:p w:rsidR="00ED3433" w:rsidRPr="00ED3433" w:rsidRDefault="00ED3433" w:rsidP="00ED3433">
      <w:pPr>
        <w:ind w:left="5670"/>
        <w:jc w:val="center"/>
        <w:rPr>
          <w:rFonts w:ascii="Verdana" w:hAnsi="Verdana"/>
          <w:i/>
          <w:sz w:val="20"/>
          <w:szCs w:val="20"/>
          <w:lang w:eastAsia="en-US"/>
        </w:rPr>
      </w:pPr>
    </w:p>
    <w:p w:rsidR="00ED3433" w:rsidRPr="00ED3433" w:rsidRDefault="00ED3433"/>
    <w:p w:rsidR="00ED3433" w:rsidRPr="00ED3433" w:rsidRDefault="00ED3433">
      <w:r w:rsidRPr="00ED3433">
        <w:t xml:space="preserve">                                                                                                          </w:t>
      </w:r>
    </w:p>
    <w:sectPr w:rsidR="00ED3433" w:rsidRPr="00ED3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4F0"/>
    <w:multiLevelType w:val="hybridMultilevel"/>
    <w:tmpl w:val="A4D85F18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33D21E4"/>
    <w:multiLevelType w:val="hybridMultilevel"/>
    <w:tmpl w:val="67744C60"/>
    <w:lvl w:ilvl="0" w:tplc="C032C0D2">
      <w:start w:val="1"/>
      <w:numFmt w:val="decimal"/>
      <w:pStyle w:val="ListNumber"/>
      <w:lvlText w:val="%1."/>
      <w:lvlJc w:val="right"/>
      <w:pPr>
        <w:tabs>
          <w:tab w:val="num" w:pos="425"/>
        </w:tabs>
        <w:ind w:left="425" w:hanging="141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A2DE2"/>
    <w:multiLevelType w:val="hybridMultilevel"/>
    <w:tmpl w:val="E64CB4A0"/>
    <w:lvl w:ilvl="0" w:tplc="E2543C5C">
      <w:start w:val="1"/>
      <w:numFmt w:val="decimal"/>
      <w:lvlText w:val="%1"/>
      <w:lvlJc w:val="left"/>
      <w:pPr>
        <w:tabs>
          <w:tab w:val="num" w:pos="-76"/>
        </w:tabs>
        <w:ind w:left="64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C0160"/>
    <w:multiLevelType w:val="hybridMultilevel"/>
    <w:tmpl w:val="023E7CE0"/>
    <w:lvl w:ilvl="0" w:tplc="253A8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B3262"/>
    <w:multiLevelType w:val="hybridMultilevel"/>
    <w:tmpl w:val="46BE57A2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625E7E43"/>
    <w:multiLevelType w:val="multilevel"/>
    <w:tmpl w:val="9236CC4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EA1726"/>
    <w:multiLevelType w:val="hybridMultilevel"/>
    <w:tmpl w:val="9E6ABD34"/>
    <w:lvl w:ilvl="0" w:tplc="253A8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33"/>
    <w:rsid w:val="00ED3433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ED3433"/>
    <w:pPr>
      <w:keepNext/>
      <w:numPr>
        <w:numId w:val="1"/>
      </w:numPr>
      <w:spacing w:before="240" w:after="12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3433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433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34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4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34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34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34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34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433"/>
    <w:rPr>
      <w:rFonts w:ascii="Verdana" w:eastAsia="Times New Roman" w:hAnsi="Verdana" w:cs="Arial"/>
      <w:b/>
      <w:bCs/>
      <w:kern w:val="32"/>
      <w:sz w:val="28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semiHidden/>
    <w:rsid w:val="00ED3433"/>
    <w:rPr>
      <w:rFonts w:ascii="Verdana" w:eastAsia="Times New Roman" w:hAnsi="Verdana" w:cs="Arial"/>
      <w:b/>
      <w:bCs/>
      <w:i/>
      <w:iCs/>
      <w:sz w:val="24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semiHidden/>
    <w:rsid w:val="00ED343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D343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Heading5Char">
    <w:name w:val="Heading 5 Char"/>
    <w:basedOn w:val="DefaultParagraphFont"/>
    <w:link w:val="Heading5"/>
    <w:semiHidden/>
    <w:rsid w:val="00ED343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semiHidden/>
    <w:rsid w:val="00ED3433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semiHidden/>
    <w:rsid w:val="00ED343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semiHidden/>
    <w:rsid w:val="00ED3433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semiHidden/>
    <w:rsid w:val="00ED3433"/>
    <w:rPr>
      <w:rFonts w:ascii="Arial" w:eastAsia="Times New Roman" w:hAnsi="Arial" w:cs="Arial"/>
      <w:lang w:eastAsia="el-GR"/>
    </w:rPr>
  </w:style>
  <w:style w:type="character" w:customStyle="1" w:styleId="ListNumberChar">
    <w:name w:val="List Number Char"/>
    <w:link w:val="ListNumber"/>
    <w:locked/>
    <w:rsid w:val="00ED3433"/>
    <w:rPr>
      <w:rFonts w:ascii="Verdana" w:hAnsi="Verdana"/>
    </w:rPr>
  </w:style>
  <w:style w:type="paragraph" w:styleId="ListNumber">
    <w:name w:val="List Number"/>
    <w:basedOn w:val="Normal"/>
    <w:link w:val="ListNumberChar"/>
    <w:unhideWhenUsed/>
    <w:rsid w:val="00ED3433"/>
    <w:pPr>
      <w:numPr>
        <w:numId w:val="2"/>
      </w:numPr>
      <w:spacing w:line="288" w:lineRule="auto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ED3433"/>
    <w:pPr>
      <w:spacing w:before="120" w:line="288" w:lineRule="auto"/>
      <w:ind w:firstLine="425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3433"/>
    <w:rPr>
      <w:rFonts w:ascii="Verdana" w:eastAsia="Times New Roman" w:hAnsi="Verdana" w:cs="Times New Roman"/>
      <w:sz w:val="20"/>
      <w:szCs w:val="20"/>
    </w:rPr>
  </w:style>
  <w:style w:type="paragraph" w:customStyle="1" w:styleId="Caption-Table">
    <w:name w:val="Caption-Table"/>
    <w:basedOn w:val="Caption"/>
    <w:rsid w:val="00ED3433"/>
    <w:pPr>
      <w:suppressAutoHyphens/>
      <w:spacing w:before="120" w:after="120"/>
      <w:jc w:val="center"/>
    </w:pPr>
    <w:rPr>
      <w:rFonts w:ascii="Verdana" w:hAnsi="Verdana"/>
      <w:color w:val="auto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43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ED3433"/>
    <w:pPr>
      <w:keepNext/>
      <w:numPr>
        <w:numId w:val="1"/>
      </w:numPr>
      <w:spacing w:before="240" w:after="12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3433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433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34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4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D34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D34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34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34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433"/>
    <w:rPr>
      <w:rFonts w:ascii="Verdana" w:eastAsia="Times New Roman" w:hAnsi="Verdana" w:cs="Arial"/>
      <w:b/>
      <w:bCs/>
      <w:kern w:val="32"/>
      <w:sz w:val="28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semiHidden/>
    <w:rsid w:val="00ED3433"/>
    <w:rPr>
      <w:rFonts w:ascii="Verdana" w:eastAsia="Times New Roman" w:hAnsi="Verdana" w:cs="Arial"/>
      <w:b/>
      <w:bCs/>
      <w:i/>
      <w:iCs/>
      <w:sz w:val="24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semiHidden/>
    <w:rsid w:val="00ED343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D3433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Heading5Char">
    <w:name w:val="Heading 5 Char"/>
    <w:basedOn w:val="DefaultParagraphFont"/>
    <w:link w:val="Heading5"/>
    <w:semiHidden/>
    <w:rsid w:val="00ED3433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Heading6Char">
    <w:name w:val="Heading 6 Char"/>
    <w:basedOn w:val="DefaultParagraphFont"/>
    <w:link w:val="Heading6"/>
    <w:semiHidden/>
    <w:rsid w:val="00ED3433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Heading7Char">
    <w:name w:val="Heading 7 Char"/>
    <w:basedOn w:val="DefaultParagraphFont"/>
    <w:link w:val="Heading7"/>
    <w:semiHidden/>
    <w:rsid w:val="00ED343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semiHidden/>
    <w:rsid w:val="00ED3433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semiHidden/>
    <w:rsid w:val="00ED3433"/>
    <w:rPr>
      <w:rFonts w:ascii="Arial" w:eastAsia="Times New Roman" w:hAnsi="Arial" w:cs="Arial"/>
      <w:lang w:eastAsia="el-GR"/>
    </w:rPr>
  </w:style>
  <w:style w:type="character" w:customStyle="1" w:styleId="ListNumberChar">
    <w:name w:val="List Number Char"/>
    <w:link w:val="ListNumber"/>
    <w:locked/>
    <w:rsid w:val="00ED3433"/>
    <w:rPr>
      <w:rFonts w:ascii="Verdana" w:hAnsi="Verdana"/>
    </w:rPr>
  </w:style>
  <w:style w:type="paragraph" w:styleId="ListNumber">
    <w:name w:val="List Number"/>
    <w:basedOn w:val="Normal"/>
    <w:link w:val="ListNumberChar"/>
    <w:unhideWhenUsed/>
    <w:rsid w:val="00ED3433"/>
    <w:pPr>
      <w:numPr>
        <w:numId w:val="2"/>
      </w:numPr>
      <w:spacing w:line="288" w:lineRule="auto"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ED3433"/>
    <w:pPr>
      <w:spacing w:before="120" w:line="288" w:lineRule="auto"/>
      <w:ind w:firstLine="425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D3433"/>
    <w:rPr>
      <w:rFonts w:ascii="Verdana" w:eastAsia="Times New Roman" w:hAnsi="Verdana" w:cs="Times New Roman"/>
      <w:sz w:val="20"/>
      <w:szCs w:val="20"/>
    </w:rPr>
  </w:style>
  <w:style w:type="paragraph" w:customStyle="1" w:styleId="Caption-Table">
    <w:name w:val="Caption-Table"/>
    <w:basedOn w:val="Caption"/>
    <w:rsid w:val="00ED3433"/>
    <w:pPr>
      <w:suppressAutoHyphens/>
      <w:spacing w:before="120" w:after="120"/>
      <w:jc w:val="center"/>
    </w:pPr>
    <w:rPr>
      <w:rFonts w:ascii="Verdana" w:hAnsi="Verdana"/>
      <w:color w:val="auto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43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Trontsiou</dc:creator>
  <cp:lastModifiedBy>Eleni Trontsiou</cp:lastModifiedBy>
  <cp:revision>1</cp:revision>
  <dcterms:created xsi:type="dcterms:W3CDTF">2015-09-18T09:48:00Z</dcterms:created>
  <dcterms:modified xsi:type="dcterms:W3CDTF">2015-09-18T09:53:00Z</dcterms:modified>
</cp:coreProperties>
</file>